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99"/>
        <w:tblW w:w="0" w:type="auto"/>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9378"/>
      </w:tblGrid>
      <w:tr w:rsidR="006D7254" w:rsidRPr="00D666DC" w:rsidTr="006D7254">
        <w:tc>
          <w:tcPr>
            <w:tcW w:w="9378" w:type="dxa"/>
            <w:shd w:val="clear" w:color="auto" w:fill="D3DFEE"/>
          </w:tcPr>
          <w:p w:rsidR="004D4AE8" w:rsidRPr="007E01AB" w:rsidRDefault="004D4AE8" w:rsidP="004D4AE8">
            <w:pPr>
              <w:pStyle w:val="NoSpacing"/>
            </w:pPr>
            <w:r w:rsidRPr="0091388E">
              <w:rPr>
                <w:b/>
                <w:lang w:val="en-GB"/>
              </w:rPr>
              <w:t xml:space="preserve">Name and address of the contracting authority: </w:t>
            </w:r>
            <w:r w:rsidRPr="00A9168C">
              <w:rPr>
                <w:lang w:val="en-GB"/>
              </w:rPr>
              <w:t xml:space="preserve">City of </w:t>
            </w:r>
            <w:proofErr w:type="spellStart"/>
            <w:r w:rsidRPr="00A9168C">
              <w:rPr>
                <w:lang w:val="en-GB"/>
              </w:rPr>
              <w:t>Zrenjanin</w:t>
            </w:r>
            <w:proofErr w:type="spellEnd"/>
            <w:r w:rsidRPr="00A9168C">
              <w:rPr>
                <w:lang w:val="en-GB"/>
              </w:rPr>
              <w:t xml:space="preserve">, </w:t>
            </w:r>
            <w:proofErr w:type="spellStart"/>
            <w:r w:rsidRPr="00A9168C">
              <w:t>Trg</w:t>
            </w:r>
            <w:proofErr w:type="spellEnd"/>
            <w:r w:rsidRPr="00A9168C">
              <w:t xml:space="preserve"> </w:t>
            </w:r>
            <w:proofErr w:type="spellStart"/>
            <w:r w:rsidRPr="00A9168C">
              <w:t>Slobode</w:t>
            </w:r>
            <w:proofErr w:type="spellEnd"/>
            <w:r w:rsidRPr="00A9168C">
              <w:t xml:space="preserve"> 10, 23101 </w:t>
            </w:r>
            <w:proofErr w:type="spellStart"/>
            <w:r w:rsidRPr="00A9168C">
              <w:t>Zrenjanin</w:t>
            </w:r>
            <w:proofErr w:type="spellEnd"/>
            <w:r w:rsidRPr="00A9168C">
              <w:t>, Republic of Serbia</w:t>
            </w:r>
          </w:p>
          <w:p w:rsidR="00ED194E" w:rsidRDefault="004D4AE8" w:rsidP="004D4AE8">
            <w:pPr>
              <w:pStyle w:val="NoSpacing"/>
              <w:rPr>
                <w:b/>
                <w:lang w:val="en-GB"/>
              </w:rPr>
            </w:pPr>
            <w:r w:rsidRPr="0091388E">
              <w:rPr>
                <w:b/>
                <w:lang w:val="en-GB"/>
              </w:rPr>
              <w:t xml:space="preserve">Title of the tender: </w:t>
            </w:r>
            <w:r w:rsidR="00ED194E" w:rsidRPr="00006FBC">
              <w:rPr>
                <w:b/>
                <w:color w:val="000000"/>
                <w:szCs w:val="22"/>
              </w:rPr>
              <w:t xml:space="preserve"> </w:t>
            </w:r>
            <w:proofErr w:type="spellStart"/>
            <w:r w:rsidR="00ED194E" w:rsidRPr="00ED194E">
              <w:rPr>
                <w:color w:val="000000"/>
                <w:szCs w:val="22"/>
              </w:rPr>
              <w:t>Organisation</w:t>
            </w:r>
            <w:proofErr w:type="spellEnd"/>
            <w:r w:rsidR="00ED194E" w:rsidRPr="00ED194E">
              <w:rPr>
                <w:color w:val="000000"/>
                <w:szCs w:val="22"/>
              </w:rPr>
              <w:t xml:space="preserve"> of events for the needs of project CLINSIM - Integrated management of relationship climate - insect migration in </w:t>
            </w:r>
            <w:proofErr w:type="spellStart"/>
            <w:r w:rsidR="00ED194E" w:rsidRPr="00ED194E">
              <w:rPr>
                <w:color w:val="000000"/>
                <w:szCs w:val="22"/>
              </w:rPr>
              <w:t>Srednjebanatski</w:t>
            </w:r>
            <w:proofErr w:type="spellEnd"/>
            <w:r w:rsidR="00ED194E" w:rsidRPr="00ED194E">
              <w:rPr>
                <w:color w:val="000000"/>
                <w:szCs w:val="22"/>
              </w:rPr>
              <w:t xml:space="preserve"> district and </w:t>
            </w:r>
            <w:proofErr w:type="spellStart"/>
            <w:r w:rsidR="00ED194E" w:rsidRPr="00ED194E">
              <w:rPr>
                <w:color w:val="000000"/>
                <w:szCs w:val="22"/>
              </w:rPr>
              <w:t>Timis</w:t>
            </w:r>
            <w:proofErr w:type="spellEnd"/>
            <w:r w:rsidR="00ED194E" w:rsidRPr="00ED194E">
              <w:rPr>
                <w:color w:val="000000"/>
                <w:szCs w:val="22"/>
              </w:rPr>
              <w:t xml:space="preserve"> County, </w:t>
            </w:r>
            <w:proofErr w:type="spellStart"/>
            <w:r w:rsidR="00ED194E" w:rsidRPr="00ED194E">
              <w:rPr>
                <w:color w:val="000000"/>
                <w:szCs w:val="22"/>
              </w:rPr>
              <w:t>Zrenjanin</w:t>
            </w:r>
            <w:proofErr w:type="spellEnd"/>
            <w:r w:rsidR="00ED194E" w:rsidRPr="0091388E">
              <w:rPr>
                <w:b/>
                <w:lang w:val="en-GB"/>
              </w:rPr>
              <w:t xml:space="preserve"> </w:t>
            </w:r>
          </w:p>
          <w:p w:rsidR="004D4AE8" w:rsidRPr="0091388E" w:rsidRDefault="004D4AE8" w:rsidP="004D4AE8">
            <w:pPr>
              <w:pStyle w:val="NoSpacing"/>
              <w:rPr>
                <w:lang w:val="en-GB"/>
              </w:rPr>
            </w:pPr>
            <w:r w:rsidRPr="0091388E">
              <w:rPr>
                <w:b/>
                <w:lang w:val="en-GB"/>
              </w:rPr>
              <w:t xml:space="preserve">Reference number:  </w:t>
            </w:r>
            <w:r w:rsidR="00ED194E" w:rsidRPr="00515561">
              <w:rPr>
                <w:szCs w:val="22"/>
              </w:rPr>
              <w:t xml:space="preserve"> RORS-380/Service-T4  </w:t>
            </w:r>
          </w:p>
          <w:p w:rsidR="006D7254" w:rsidRPr="00D666DC" w:rsidRDefault="004D4AE8" w:rsidP="00385ACA">
            <w:pPr>
              <w:pStyle w:val="NoSpacing"/>
              <w:rPr>
                <w:rFonts w:eastAsia="Calibri"/>
                <w:snapToGrid/>
                <w:sz w:val="22"/>
                <w:szCs w:val="22"/>
                <w:lang w:val="en-GB"/>
              </w:rPr>
            </w:pPr>
            <w:r w:rsidRPr="0091388E">
              <w:rPr>
                <w:b/>
                <w:lang w:val="en-GB"/>
              </w:rPr>
              <w:t>Date of launching:</w:t>
            </w:r>
            <w:r w:rsidRPr="0091388E">
              <w:rPr>
                <w:lang w:val="en-GB"/>
              </w:rPr>
              <w:t xml:space="preserve"> </w:t>
            </w:r>
            <w:r w:rsidR="00385ACA">
              <w:rPr>
                <w:lang w:val="en-GB"/>
              </w:rPr>
              <w:t>2</w:t>
            </w:r>
            <w:r>
              <w:rPr>
                <w:lang w:val="en-GB"/>
              </w:rPr>
              <w:t>.0</w:t>
            </w:r>
            <w:r w:rsidR="00385ACA">
              <w:rPr>
                <w:lang w:val="en-GB"/>
              </w:rPr>
              <w:t>4</w:t>
            </w:r>
            <w:r>
              <w:rPr>
                <w:lang w:val="en-GB"/>
              </w:rPr>
              <w:t>.2021.</w:t>
            </w:r>
          </w:p>
        </w:tc>
      </w:tr>
    </w:tbl>
    <w:p w:rsidR="00204689" w:rsidRPr="00C63FAD" w:rsidRDefault="00204689" w:rsidP="00D666DC">
      <w:pPr>
        <w:rPr>
          <w:sz w:val="20"/>
        </w:rPr>
      </w:pPr>
    </w:p>
    <w:p w:rsidR="00204689" w:rsidRDefault="00204689" w:rsidP="006D7254">
      <w:pPr>
        <w:spacing w:before="300"/>
        <w:jc w:val="center"/>
        <w:rPr>
          <w:rStyle w:val="Strong"/>
          <w:sz w:val="28"/>
          <w:szCs w:val="28"/>
        </w:rPr>
      </w:pPr>
      <w:r w:rsidRPr="00204689">
        <w:rPr>
          <w:rStyle w:val="Strong"/>
          <w:sz w:val="28"/>
          <w:szCs w:val="28"/>
        </w:rPr>
        <w:t>CONTRACT AWARD NOTICE</w:t>
      </w:r>
    </w:p>
    <w:p w:rsidR="00ED194E" w:rsidRPr="006D7254" w:rsidRDefault="00ED194E" w:rsidP="006D7254">
      <w:pPr>
        <w:spacing w:before="300"/>
        <w:jc w:val="center"/>
        <w:rPr>
          <w:b/>
          <w:sz w:val="28"/>
          <w:szCs w:val="28"/>
        </w:rPr>
      </w:pPr>
    </w:p>
    <w:p w:rsidR="00204689" w:rsidRPr="00C4693B" w:rsidRDefault="00A32837" w:rsidP="003504A8">
      <w:pPr>
        <w:spacing w:before="120" w:after="120"/>
        <w:ind w:left="851" w:hanging="425"/>
        <w:outlineLvl w:val="0"/>
        <w:rPr>
          <w:szCs w:val="24"/>
        </w:rPr>
      </w:pPr>
      <w:r>
        <w:rPr>
          <w:rStyle w:val="Strong"/>
          <w:szCs w:val="24"/>
        </w:rPr>
        <w:t>1</w:t>
      </w:r>
      <w:r w:rsidR="00204689" w:rsidRPr="00C4693B">
        <w:rPr>
          <w:rStyle w:val="Strong"/>
          <w:szCs w:val="24"/>
        </w:rPr>
        <w:t xml:space="preserve">. </w:t>
      </w:r>
      <w:r w:rsidR="00324D2D" w:rsidRPr="00C4693B">
        <w:rPr>
          <w:rStyle w:val="Strong"/>
          <w:szCs w:val="24"/>
        </w:rPr>
        <w:tab/>
      </w:r>
      <w:r>
        <w:rPr>
          <w:rStyle w:val="Strong"/>
          <w:szCs w:val="24"/>
        </w:rPr>
        <w:t>Contract</w:t>
      </w:r>
      <w:r w:rsidR="00E75DF1" w:rsidRPr="00C4693B">
        <w:rPr>
          <w:rStyle w:val="Strong"/>
          <w:szCs w:val="24"/>
        </w:rPr>
        <w:t xml:space="preserve"> </w:t>
      </w:r>
      <w:r w:rsidR="00F81717">
        <w:rPr>
          <w:rStyle w:val="Strong"/>
          <w:szCs w:val="24"/>
        </w:rPr>
        <w:t xml:space="preserve">number and </w:t>
      </w:r>
      <w:r w:rsidR="00204689" w:rsidRPr="00C4693B">
        <w:rPr>
          <w:rStyle w:val="Strong"/>
          <w:szCs w:val="24"/>
        </w:rPr>
        <w:t>value</w:t>
      </w:r>
    </w:p>
    <w:p w:rsidR="00ED194E" w:rsidRPr="00ED194E" w:rsidRDefault="00ED194E" w:rsidP="003504A8">
      <w:pPr>
        <w:spacing w:before="120" w:after="120"/>
        <w:ind w:left="851" w:hanging="425"/>
        <w:outlineLvl w:val="0"/>
        <w:rPr>
          <w:rStyle w:val="Strong"/>
          <w:b w:val="0"/>
          <w:szCs w:val="22"/>
        </w:rPr>
      </w:pPr>
      <w:r w:rsidRPr="00515561">
        <w:rPr>
          <w:szCs w:val="22"/>
        </w:rPr>
        <w:t>RORS-380/Service-</w:t>
      </w:r>
      <w:proofErr w:type="gramStart"/>
      <w:r w:rsidRPr="00515561">
        <w:rPr>
          <w:szCs w:val="22"/>
        </w:rPr>
        <w:t xml:space="preserve">T4  </w:t>
      </w:r>
      <w:r w:rsidR="00EF7819">
        <w:rPr>
          <w:sz w:val="22"/>
          <w:szCs w:val="22"/>
        </w:rPr>
        <w:t>,</w:t>
      </w:r>
      <w:proofErr w:type="gramEnd"/>
      <w:r w:rsidR="00EF7819">
        <w:rPr>
          <w:sz w:val="22"/>
          <w:szCs w:val="22"/>
        </w:rPr>
        <w:t xml:space="preserve"> Contract Value: </w:t>
      </w:r>
      <w:r w:rsidRPr="0036028A">
        <w:rPr>
          <w:sz w:val="22"/>
          <w:szCs w:val="22"/>
        </w:rPr>
        <w:t xml:space="preserve">EUR </w:t>
      </w:r>
      <w:r w:rsidRPr="00ED194E">
        <w:rPr>
          <w:b/>
          <w:sz w:val="22"/>
          <w:szCs w:val="22"/>
        </w:rPr>
        <w:t>35.400,00</w:t>
      </w:r>
      <w:r>
        <w:rPr>
          <w:sz w:val="22"/>
          <w:szCs w:val="22"/>
        </w:rPr>
        <w:t xml:space="preserve"> </w:t>
      </w:r>
      <w:r w:rsidR="004D4AE8" w:rsidRPr="004D4AE8">
        <w:rPr>
          <w:szCs w:val="24"/>
          <w:lang w:val="en-GB"/>
        </w:rPr>
        <w:t>EUR</w:t>
      </w:r>
      <w:r w:rsidR="004D4AE8" w:rsidRPr="004D4AE8">
        <w:rPr>
          <w:sz w:val="22"/>
          <w:szCs w:val="22"/>
        </w:rPr>
        <w:t xml:space="preserve"> </w:t>
      </w:r>
    </w:p>
    <w:p w:rsidR="00204689" w:rsidRPr="00C4693B" w:rsidRDefault="00A32837" w:rsidP="003504A8">
      <w:pPr>
        <w:spacing w:before="120" w:after="120"/>
        <w:ind w:left="851" w:hanging="425"/>
        <w:outlineLvl w:val="0"/>
        <w:rPr>
          <w:szCs w:val="24"/>
        </w:rPr>
      </w:pPr>
      <w:r>
        <w:rPr>
          <w:rStyle w:val="Strong"/>
          <w:szCs w:val="24"/>
        </w:rPr>
        <w:t>2</w:t>
      </w:r>
      <w:r w:rsidR="00204689" w:rsidRPr="00C4693B">
        <w:rPr>
          <w:rStyle w:val="Strong"/>
          <w:szCs w:val="24"/>
        </w:rPr>
        <w:t xml:space="preserve">. </w:t>
      </w:r>
      <w:r w:rsidR="00324D2D" w:rsidRPr="00C4693B">
        <w:rPr>
          <w:rStyle w:val="Strong"/>
          <w:szCs w:val="24"/>
        </w:rPr>
        <w:tab/>
      </w:r>
      <w:r w:rsidR="00204689" w:rsidRPr="00C4693B">
        <w:rPr>
          <w:rStyle w:val="Strong"/>
          <w:szCs w:val="24"/>
        </w:rPr>
        <w:t>Date of award of the contract</w:t>
      </w:r>
    </w:p>
    <w:p w:rsidR="00ED194E" w:rsidRPr="00ED194E" w:rsidRDefault="00ED194E" w:rsidP="00ED194E">
      <w:pPr>
        <w:pStyle w:val="Blockquote"/>
        <w:spacing w:before="120" w:after="120"/>
        <w:ind w:left="426"/>
        <w:rPr>
          <w:rStyle w:val="Strong"/>
          <w:b w:val="0"/>
          <w:sz w:val="22"/>
          <w:szCs w:val="22"/>
        </w:rPr>
      </w:pPr>
      <w:r>
        <w:rPr>
          <w:sz w:val="22"/>
          <w:szCs w:val="22"/>
        </w:rPr>
        <w:t>14</w:t>
      </w:r>
      <w:r w:rsidR="004D4AE8">
        <w:rPr>
          <w:sz w:val="22"/>
          <w:szCs w:val="22"/>
        </w:rPr>
        <w:t>.0</w:t>
      </w:r>
      <w:r>
        <w:rPr>
          <w:sz w:val="22"/>
          <w:szCs w:val="22"/>
        </w:rPr>
        <w:t>5</w:t>
      </w:r>
      <w:r w:rsidR="004D4AE8">
        <w:rPr>
          <w:sz w:val="22"/>
          <w:szCs w:val="22"/>
        </w:rPr>
        <w:t>.2021</w:t>
      </w:r>
    </w:p>
    <w:p w:rsidR="00204689" w:rsidRPr="00C4693B" w:rsidRDefault="00A32837" w:rsidP="003504A8">
      <w:pPr>
        <w:spacing w:before="120" w:after="120"/>
        <w:ind w:left="851" w:hanging="425"/>
        <w:outlineLvl w:val="0"/>
        <w:rPr>
          <w:szCs w:val="24"/>
        </w:rPr>
      </w:pPr>
      <w:r>
        <w:rPr>
          <w:rStyle w:val="Strong"/>
          <w:szCs w:val="24"/>
        </w:rPr>
        <w:t>3</w:t>
      </w:r>
      <w:r w:rsidR="00204689" w:rsidRPr="00C4693B">
        <w:rPr>
          <w:rStyle w:val="Strong"/>
          <w:szCs w:val="24"/>
        </w:rPr>
        <w:t xml:space="preserve">. </w:t>
      </w:r>
      <w:r w:rsidR="00324D2D" w:rsidRPr="00C4693B">
        <w:rPr>
          <w:rStyle w:val="Strong"/>
          <w:szCs w:val="24"/>
        </w:rPr>
        <w:tab/>
      </w:r>
      <w:r w:rsidR="00204689" w:rsidRPr="00C4693B">
        <w:rPr>
          <w:rStyle w:val="Strong"/>
          <w:szCs w:val="24"/>
        </w:rPr>
        <w:t>Number of tenders received</w:t>
      </w:r>
    </w:p>
    <w:p w:rsidR="00ED194E" w:rsidRPr="00ED194E" w:rsidRDefault="004D4AE8" w:rsidP="00ED194E">
      <w:pPr>
        <w:pStyle w:val="Blockquote"/>
        <w:spacing w:before="120" w:after="120"/>
        <w:ind w:left="426"/>
        <w:rPr>
          <w:rStyle w:val="Strong"/>
          <w:b w:val="0"/>
          <w:sz w:val="22"/>
          <w:szCs w:val="22"/>
        </w:rPr>
      </w:pPr>
      <w:r>
        <w:rPr>
          <w:sz w:val="22"/>
          <w:szCs w:val="22"/>
        </w:rPr>
        <w:t>One</w:t>
      </w:r>
    </w:p>
    <w:p w:rsidR="004D4AE8" w:rsidRDefault="00F62AF1" w:rsidP="004D4AE8">
      <w:pPr>
        <w:spacing w:before="120" w:after="120"/>
        <w:ind w:left="851" w:hanging="425"/>
        <w:outlineLvl w:val="0"/>
        <w:rPr>
          <w:szCs w:val="24"/>
        </w:rPr>
      </w:pPr>
      <w:r>
        <w:rPr>
          <w:rStyle w:val="Strong"/>
          <w:szCs w:val="24"/>
        </w:rPr>
        <w:t>4</w:t>
      </w:r>
      <w:r w:rsidR="00204689" w:rsidRPr="00C4693B">
        <w:rPr>
          <w:rStyle w:val="Strong"/>
          <w:szCs w:val="24"/>
        </w:rPr>
        <w:t xml:space="preserve">. </w:t>
      </w:r>
      <w:r w:rsidR="00324D2D" w:rsidRPr="00C4693B">
        <w:rPr>
          <w:rStyle w:val="Strong"/>
          <w:szCs w:val="24"/>
        </w:rPr>
        <w:tab/>
      </w:r>
      <w:r w:rsidR="00F81717" w:rsidRPr="00C4693B">
        <w:rPr>
          <w:rStyle w:val="Strong"/>
          <w:szCs w:val="24"/>
        </w:rPr>
        <w:t xml:space="preserve">Name, address and nationality of successful </w:t>
      </w:r>
      <w:proofErr w:type="spellStart"/>
      <w:r w:rsidR="00F81717" w:rsidRPr="00C4693B">
        <w:rPr>
          <w:rStyle w:val="Strong"/>
          <w:szCs w:val="24"/>
        </w:rPr>
        <w:t>tenderer</w:t>
      </w:r>
      <w:proofErr w:type="spellEnd"/>
    </w:p>
    <w:p w:rsidR="00ED194E" w:rsidRPr="00ED194E" w:rsidRDefault="00ED194E" w:rsidP="00ED194E">
      <w:pPr>
        <w:spacing w:before="120" w:after="120"/>
        <w:ind w:left="851" w:hanging="425"/>
        <w:outlineLvl w:val="0"/>
        <w:rPr>
          <w:szCs w:val="24"/>
        </w:rPr>
      </w:pPr>
      <w:r>
        <w:rPr>
          <w:szCs w:val="22"/>
        </w:rPr>
        <w:t xml:space="preserve">Best Brand Friendly, Cara </w:t>
      </w:r>
      <w:proofErr w:type="spellStart"/>
      <w:r>
        <w:rPr>
          <w:szCs w:val="22"/>
        </w:rPr>
        <w:t>Uroša</w:t>
      </w:r>
      <w:proofErr w:type="spellEnd"/>
      <w:r>
        <w:rPr>
          <w:szCs w:val="22"/>
        </w:rPr>
        <w:t xml:space="preserve"> </w:t>
      </w:r>
      <w:r>
        <w:rPr>
          <w:szCs w:val="22"/>
          <w:lang/>
        </w:rPr>
        <w:t>31</w:t>
      </w:r>
      <w:r>
        <w:rPr>
          <w:szCs w:val="24"/>
        </w:rPr>
        <w:t xml:space="preserve">, </w:t>
      </w:r>
      <w:r>
        <w:rPr>
          <w:szCs w:val="22"/>
          <w:lang/>
        </w:rPr>
        <w:t>Jazak</w:t>
      </w:r>
    </w:p>
    <w:p w:rsidR="00F81717" w:rsidRDefault="00F81717" w:rsidP="00F81717">
      <w:pPr>
        <w:pStyle w:val="Blockquote"/>
        <w:tabs>
          <w:tab w:val="left" w:pos="5415"/>
        </w:tabs>
        <w:spacing w:before="120" w:after="120"/>
        <w:ind w:left="851" w:hanging="425"/>
        <w:rPr>
          <w:b/>
          <w:szCs w:val="24"/>
        </w:rPr>
      </w:pPr>
      <w:r>
        <w:rPr>
          <w:b/>
          <w:szCs w:val="24"/>
        </w:rPr>
        <w:t>5</w:t>
      </w:r>
      <w:r w:rsidRPr="00C4693B">
        <w:rPr>
          <w:b/>
          <w:szCs w:val="24"/>
        </w:rPr>
        <w:t>. Duration of contract</w:t>
      </w:r>
    </w:p>
    <w:p w:rsidR="00ED194E" w:rsidRPr="00ED194E" w:rsidRDefault="004D4AE8" w:rsidP="00ED194E">
      <w:pPr>
        <w:pStyle w:val="Blockquote"/>
        <w:tabs>
          <w:tab w:val="left" w:pos="5415"/>
        </w:tabs>
        <w:spacing w:before="120" w:after="120"/>
        <w:ind w:left="851" w:hanging="425"/>
        <w:rPr>
          <w:rStyle w:val="Emphasis"/>
          <w:i w:val="0"/>
          <w:szCs w:val="24"/>
        </w:rPr>
      </w:pPr>
      <w:r>
        <w:rPr>
          <w:szCs w:val="24"/>
        </w:rPr>
        <w:t xml:space="preserve">2 </w:t>
      </w:r>
      <w:r w:rsidR="00EF7819" w:rsidRPr="00EF7819">
        <w:rPr>
          <w:szCs w:val="24"/>
        </w:rPr>
        <w:t xml:space="preserve">months </w:t>
      </w:r>
    </w:p>
    <w:p w:rsidR="00F81717" w:rsidRPr="00C4693B" w:rsidRDefault="00B01972" w:rsidP="00F81717">
      <w:pPr>
        <w:spacing w:before="120" w:after="120"/>
        <w:ind w:left="851" w:hanging="425"/>
        <w:outlineLvl w:val="0"/>
        <w:rPr>
          <w:szCs w:val="24"/>
          <w:lang w:val="en-GB"/>
        </w:rPr>
      </w:pPr>
      <w:r>
        <w:rPr>
          <w:rStyle w:val="Emphasis"/>
          <w:b/>
          <w:i w:val="0"/>
          <w:szCs w:val="24"/>
          <w:lang w:val="en-GB"/>
        </w:rPr>
        <w:t>6</w:t>
      </w:r>
      <w:r w:rsidR="00F81717" w:rsidRPr="00C4693B">
        <w:rPr>
          <w:rStyle w:val="Emphasis"/>
          <w:b/>
          <w:i w:val="0"/>
          <w:szCs w:val="24"/>
          <w:lang w:val="en-GB"/>
        </w:rPr>
        <w:t>.</w:t>
      </w:r>
      <w:r w:rsidR="00F81717" w:rsidRPr="00C4693B">
        <w:rPr>
          <w:rStyle w:val="Emphasis"/>
          <w:i w:val="0"/>
          <w:szCs w:val="24"/>
          <w:lang w:val="en-GB"/>
        </w:rPr>
        <w:t xml:space="preserve"> </w:t>
      </w:r>
      <w:r w:rsidR="00F81717" w:rsidRPr="00C4693B">
        <w:rPr>
          <w:rStyle w:val="Strong"/>
          <w:szCs w:val="24"/>
          <w:lang w:val="en-GB"/>
        </w:rPr>
        <w:t>Legal basis</w:t>
      </w:r>
    </w:p>
    <w:tbl>
      <w:tblPr>
        <w:tblW w:w="9487" w:type="dxa"/>
        <w:tblInd w:w="-23" w:type="dxa"/>
        <w:tblCellMar>
          <w:left w:w="0" w:type="dxa"/>
          <w:right w:w="0" w:type="dxa"/>
        </w:tblCellMar>
        <w:tblLook w:val="04A0"/>
      </w:tblPr>
      <w:tblGrid>
        <w:gridCol w:w="9487"/>
      </w:tblGrid>
      <w:tr w:rsidR="00811839" w:rsidRPr="00811839" w:rsidTr="00811839">
        <w:trPr>
          <w:trHeight w:val="600"/>
        </w:trPr>
        <w:tc>
          <w:tcPr>
            <w:tcW w:w="9487" w:type="dxa"/>
            <w:tcMar>
              <w:top w:w="0" w:type="dxa"/>
              <w:left w:w="108" w:type="dxa"/>
              <w:bottom w:w="0" w:type="dxa"/>
              <w:right w:w="108" w:type="dxa"/>
            </w:tcMar>
            <w:vAlign w:val="bottom"/>
            <w:hideMark/>
          </w:tcPr>
          <w:p w:rsidR="00811839" w:rsidRPr="00811839" w:rsidRDefault="00811839" w:rsidP="00811839">
            <w:pPr>
              <w:pStyle w:val="Blockquote"/>
              <w:ind w:left="644"/>
              <w:jc w:val="both"/>
              <w:rPr>
                <w:rStyle w:val="Emphasis"/>
                <w:i w:val="0"/>
                <w:sz w:val="22"/>
                <w:szCs w:val="22"/>
                <w:lang w:val="en-GB"/>
              </w:rPr>
            </w:pPr>
            <w:r w:rsidRPr="00811839">
              <w:rPr>
                <w:rStyle w:val="Emphasis"/>
                <w:i w:val="0"/>
                <w:sz w:val="22"/>
                <w:szCs w:val="22"/>
                <w:lang w:val="en-GB"/>
              </w:rPr>
              <w:t>Regulation (Eu) No 231/2014 of the European Parliament and of the Council of 11 March 2014 establishing an Instrument for Pre-accession Assistance (IPA II);</w:t>
            </w:r>
          </w:p>
        </w:tc>
      </w:tr>
      <w:tr w:rsidR="00811839" w:rsidRPr="00811839" w:rsidTr="00811839">
        <w:trPr>
          <w:trHeight w:val="600"/>
        </w:trPr>
        <w:tc>
          <w:tcPr>
            <w:tcW w:w="9487" w:type="dxa"/>
            <w:tcMar>
              <w:top w:w="0" w:type="dxa"/>
              <w:left w:w="108" w:type="dxa"/>
              <w:bottom w:w="0" w:type="dxa"/>
              <w:right w:w="108" w:type="dxa"/>
            </w:tcMar>
            <w:vAlign w:val="bottom"/>
            <w:hideMark/>
          </w:tcPr>
          <w:p w:rsidR="00811839" w:rsidRPr="00811839" w:rsidRDefault="00811839" w:rsidP="00811839">
            <w:pPr>
              <w:pStyle w:val="Blockquote"/>
              <w:ind w:left="644"/>
              <w:jc w:val="both"/>
              <w:rPr>
                <w:rStyle w:val="Emphasis"/>
                <w:i w:val="0"/>
                <w:sz w:val="22"/>
                <w:szCs w:val="22"/>
                <w:lang w:val="en-GB"/>
              </w:rPr>
            </w:pPr>
            <w:r w:rsidRPr="00811839">
              <w:rPr>
                <w:rStyle w:val="Emphasis"/>
                <w:i w:val="0"/>
                <w:sz w:val="22"/>
                <w:szCs w:val="22"/>
                <w:lang w:val="en-GB"/>
              </w:rPr>
              <w:t>Regulation (Eu) No 236/2014 of the European Parliament and of the Council of 11 March 2014 laying down common rules and procedures for the implementation of the Union's instruments for financing external action;</w:t>
            </w:r>
          </w:p>
        </w:tc>
      </w:tr>
      <w:tr w:rsidR="00811839" w:rsidRPr="00811839" w:rsidTr="00811839">
        <w:trPr>
          <w:trHeight w:val="600"/>
        </w:trPr>
        <w:tc>
          <w:tcPr>
            <w:tcW w:w="9487" w:type="dxa"/>
            <w:tcMar>
              <w:top w:w="0" w:type="dxa"/>
              <w:left w:w="108" w:type="dxa"/>
              <w:bottom w:w="0" w:type="dxa"/>
              <w:right w:w="108" w:type="dxa"/>
            </w:tcMar>
            <w:vAlign w:val="bottom"/>
            <w:hideMark/>
          </w:tcPr>
          <w:p w:rsidR="00811839" w:rsidRPr="00811839" w:rsidRDefault="00811839" w:rsidP="00811839">
            <w:pPr>
              <w:pStyle w:val="Blockquote"/>
              <w:ind w:left="644"/>
              <w:jc w:val="both"/>
              <w:rPr>
                <w:rStyle w:val="Emphasis"/>
                <w:i w:val="0"/>
                <w:sz w:val="22"/>
                <w:szCs w:val="22"/>
                <w:lang w:val="en-GB"/>
              </w:rPr>
            </w:pPr>
            <w:r w:rsidRPr="00811839">
              <w:rPr>
                <w:rStyle w:val="Emphasis"/>
                <w:i w:val="0"/>
                <w:sz w:val="22"/>
                <w:szCs w:val="22"/>
                <w:lang w:val="en-GB"/>
              </w:rPr>
              <w:t>Commission Implementing Regulation (EU) No 447/2014 of 2 May 2014 on the specific rules for implementing Regulation (EU) No 231/2014 of the European Parliament and of the Council establishing an Instrument for Pre-accession assistance (IPA II);</w:t>
            </w:r>
          </w:p>
        </w:tc>
      </w:tr>
      <w:tr w:rsidR="00811839" w:rsidRPr="00811839" w:rsidTr="00811839">
        <w:trPr>
          <w:trHeight w:val="600"/>
        </w:trPr>
        <w:tc>
          <w:tcPr>
            <w:tcW w:w="9487" w:type="dxa"/>
            <w:tcMar>
              <w:top w:w="0" w:type="dxa"/>
              <w:left w:w="108" w:type="dxa"/>
              <w:bottom w:w="0" w:type="dxa"/>
              <w:right w:w="108" w:type="dxa"/>
            </w:tcMar>
            <w:vAlign w:val="bottom"/>
            <w:hideMark/>
          </w:tcPr>
          <w:p w:rsidR="00811839" w:rsidRPr="00811839" w:rsidRDefault="00811839" w:rsidP="00811839">
            <w:pPr>
              <w:pStyle w:val="Blockquote"/>
              <w:ind w:left="644"/>
              <w:jc w:val="both"/>
              <w:rPr>
                <w:rStyle w:val="Emphasis"/>
                <w:i w:val="0"/>
              </w:rPr>
            </w:pPr>
            <w:r w:rsidRPr="00811839">
              <w:rPr>
                <w:rStyle w:val="Emphasis"/>
                <w:i w:val="0"/>
              </w:rPr>
              <w:t>Regulation (EU, Euratom) No 966/2012 of the European Parliament and of the Council of 25 October 2012 on the financial rules applicable to the general budget of the Union and repealing Council Regulation (EC, Euratom) No 1605/2002;</w:t>
            </w:r>
          </w:p>
        </w:tc>
      </w:tr>
      <w:tr w:rsidR="00811839" w:rsidRPr="00811839" w:rsidTr="00811839">
        <w:trPr>
          <w:trHeight w:val="600"/>
        </w:trPr>
        <w:tc>
          <w:tcPr>
            <w:tcW w:w="9487" w:type="dxa"/>
            <w:tcMar>
              <w:top w:w="0" w:type="dxa"/>
              <w:left w:w="108" w:type="dxa"/>
              <w:bottom w:w="0" w:type="dxa"/>
              <w:right w:w="108" w:type="dxa"/>
            </w:tcMar>
            <w:vAlign w:val="bottom"/>
            <w:hideMark/>
          </w:tcPr>
          <w:p w:rsidR="00811839" w:rsidRPr="00811839" w:rsidRDefault="00811839" w:rsidP="00811839">
            <w:pPr>
              <w:pStyle w:val="Blockquote"/>
              <w:ind w:left="644"/>
              <w:jc w:val="both"/>
              <w:rPr>
                <w:rStyle w:val="Emphasis"/>
                <w:i w:val="0"/>
                <w:szCs w:val="24"/>
              </w:rPr>
            </w:pPr>
            <w:r w:rsidRPr="00811839">
              <w:rPr>
                <w:rStyle w:val="Emphasis"/>
                <w:i w:val="0"/>
                <w:szCs w:val="24"/>
              </w:rPr>
              <w:t xml:space="preserve">Commission Delegated Regulation (EU) No 1268/2012 of 29 October 2012 </w:t>
            </w:r>
          </w:p>
          <w:p w:rsidR="00811839" w:rsidRPr="00811839" w:rsidRDefault="00811839" w:rsidP="00811839">
            <w:pPr>
              <w:pStyle w:val="Blockquote"/>
              <w:ind w:left="644"/>
              <w:jc w:val="both"/>
              <w:rPr>
                <w:rStyle w:val="Emphasis"/>
                <w:i w:val="0"/>
                <w:szCs w:val="24"/>
              </w:rPr>
            </w:pPr>
            <w:r w:rsidRPr="00811839">
              <w:rPr>
                <w:rStyle w:val="Emphasis"/>
                <w:i w:val="0"/>
                <w:szCs w:val="24"/>
              </w:rPr>
              <w:t xml:space="preserve">on the rules of application of Regulation (EU, Euratom) No 966/2012 of the European Parliament and of the Council on the financial rules applicable to the </w:t>
            </w:r>
            <w:r w:rsidRPr="00811839">
              <w:rPr>
                <w:rStyle w:val="Emphasis"/>
                <w:i w:val="0"/>
                <w:szCs w:val="24"/>
              </w:rPr>
              <w:lastRenderedPageBreak/>
              <w:t>general budget of the Union;</w:t>
            </w:r>
          </w:p>
        </w:tc>
      </w:tr>
    </w:tbl>
    <w:p w:rsidR="00811839" w:rsidRDefault="00F81717" w:rsidP="00F81717">
      <w:pPr>
        <w:pStyle w:val="Blockquote"/>
        <w:ind w:left="644"/>
        <w:jc w:val="both"/>
        <w:rPr>
          <w:rStyle w:val="Emphasis"/>
          <w:i w:val="0"/>
          <w:szCs w:val="24"/>
          <w:lang w:val="en-GB"/>
        </w:rPr>
      </w:pPr>
      <w:r w:rsidRPr="00811839">
        <w:rPr>
          <w:rStyle w:val="Emphasis"/>
          <w:i w:val="0"/>
          <w:szCs w:val="24"/>
          <w:lang w:val="en-GB"/>
        </w:rPr>
        <w:lastRenderedPageBreak/>
        <w:t>Practical Guide to Contract procedures for EU external actions published on the EuropeAid</w:t>
      </w:r>
      <w:r w:rsidR="00811839" w:rsidRPr="00811839">
        <w:rPr>
          <w:rStyle w:val="Emphasis"/>
          <w:i w:val="0"/>
          <w:szCs w:val="24"/>
          <w:lang w:val="en-GB"/>
        </w:rPr>
        <w:t xml:space="preserve"> </w:t>
      </w:r>
    </w:p>
    <w:p w:rsidR="00811839" w:rsidRDefault="00811839" w:rsidP="00F81717">
      <w:pPr>
        <w:pStyle w:val="Blockquote"/>
        <w:ind w:left="644"/>
        <w:jc w:val="both"/>
        <w:rPr>
          <w:rStyle w:val="Emphasis"/>
          <w:i w:val="0"/>
          <w:szCs w:val="24"/>
          <w:lang w:val="en-GB"/>
        </w:rPr>
      </w:pPr>
      <w:r w:rsidRPr="00811839">
        <w:rPr>
          <w:rStyle w:val="Emphasis"/>
          <w:i w:val="0"/>
          <w:szCs w:val="24"/>
          <w:lang w:val="en-GB"/>
        </w:rPr>
        <w:t xml:space="preserve">PRAG version </w:t>
      </w:r>
      <w:r w:rsidRPr="00811839">
        <w:rPr>
          <w:color w:val="444444"/>
          <w:szCs w:val="24"/>
          <w:shd w:val="clear" w:color="auto" w:fill="FFFFFF"/>
        </w:rPr>
        <w:t xml:space="preserve">15 January </w:t>
      </w:r>
      <w:proofErr w:type="gramStart"/>
      <w:r w:rsidRPr="00811839">
        <w:rPr>
          <w:color w:val="444444"/>
          <w:szCs w:val="24"/>
          <w:shd w:val="clear" w:color="auto" w:fill="FFFFFF"/>
        </w:rPr>
        <w:t>2016</w:t>
      </w:r>
      <w:r>
        <w:rPr>
          <w:color w:val="444444"/>
          <w:szCs w:val="24"/>
          <w:shd w:val="clear" w:color="auto" w:fill="FFFFFF"/>
        </w:rPr>
        <w:t xml:space="preserve">  </w:t>
      </w:r>
      <w:proofErr w:type="gramEnd"/>
      <w:hyperlink r:id="rId8" w:history="1">
        <w:r w:rsidRPr="00811839">
          <w:rPr>
            <w:rStyle w:val="Hyperlink"/>
            <w:szCs w:val="24"/>
            <w:lang w:val="en-GB"/>
          </w:rPr>
          <w:t>http://ec.europa.eu/europeaid/prag/</w:t>
        </w:r>
      </w:hyperlink>
      <w:r w:rsidRPr="00811839">
        <w:rPr>
          <w:rStyle w:val="Emphasis"/>
          <w:i w:val="0"/>
          <w:szCs w:val="24"/>
          <w:lang w:val="en-GB"/>
        </w:rPr>
        <w:t xml:space="preserve"> </w:t>
      </w:r>
    </w:p>
    <w:p w:rsidR="00811839" w:rsidRDefault="00811839" w:rsidP="00F81717">
      <w:pPr>
        <w:pStyle w:val="Blockquote"/>
        <w:ind w:left="644"/>
        <w:jc w:val="both"/>
        <w:rPr>
          <w:rStyle w:val="Emphasis"/>
          <w:i w:val="0"/>
          <w:szCs w:val="24"/>
          <w:lang w:val="en-GB"/>
        </w:rPr>
      </w:pPr>
      <w:hyperlink r:id="rId9" w:history="1">
        <w:r w:rsidRPr="004E70E2">
          <w:rPr>
            <w:rStyle w:val="Hyperlink"/>
            <w:szCs w:val="24"/>
            <w:lang w:val="en-GB"/>
          </w:rPr>
          <w:t>http://ec.europa.eu/europeaid/prag/?header_description=DEVCO+Prag+to+financial+and+contractual+procedures+applicable+to+external+actions+financed+from+the+general+budget+of+the+EU+and+from+the+11th+EDF&amp;header_keywords=ePrag%2C+europa</w:t>
        </w:r>
      </w:hyperlink>
      <w:r>
        <w:rPr>
          <w:rStyle w:val="Emphasis"/>
          <w:i w:val="0"/>
          <w:szCs w:val="24"/>
          <w:lang w:val="en-GB"/>
        </w:rPr>
        <w:t xml:space="preserve"> </w:t>
      </w:r>
    </w:p>
    <w:sectPr w:rsidR="00811839" w:rsidSect="006D7254">
      <w:headerReference w:type="default" r:id="rId10"/>
      <w:pgSz w:w="12240" w:h="15840"/>
      <w:pgMar w:top="993" w:right="1440" w:bottom="1440" w:left="1440" w:header="576" w:footer="576"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9F7" w:rsidRDefault="003909F7">
      <w:r>
        <w:separator/>
      </w:r>
    </w:p>
  </w:endnote>
  <w:endnote w:type="continuationSeparator" w:id="1">
    <w:p w:rsidR="003909F7" w:rsidRDefault="00390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9F7" w:rsidRDefault="003909F7">
      <w:r>
        <w:separator/>
      </w:r>
    </w:p>
  </w:footnote>
  <w:footnote w:type="continuationSeparator" w:id="1">
    <w:p w:rsidR="003909F7" w:rsidRDefault="003909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254" w:rsidRDefault="006D7254" w:rsidP="006D7254">
    <w:pPr>
      <w:pStyle w:val="Header"/>
      <w:jc w:val="right"/>
    </w:pPr>
    <w:r>
      <w:t>Annex 5</w:t>
    </w:r>
  </w:p>
  <w:p w:rsidR="006D7254" w:rsidRDefault="006D72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cs="Times New Roman" w:hint="default"/>
        <w:b/>
        <w:i w:val="0"/>
        <w:sz w:val="22"/>
        <w:szCs w:val="22"/>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nsid w:val="71D65C65"/>
    <w:multiLevelType w:val="hybridMultilevel"/>
    <w:tmpl w:val="C9C0675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num>
  <w:num w:numId="3">
    <w:abstractNumId w:val="2"/>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lvlOverride w:ilvl="2"/>
    <w:lvlOverride w:ilvl="3"/>
    <w:lvlOverride w:ilvl="4"/>
    <w:lvlOverride w:ilvl="5"/>
    <w:lvlOverride w:ilvl="6"/>
    <w:lvlOverride w:ilvl="7"/>
    <w:lvlOverride w:ilvl="8"/>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cumentProtection w:edit="readOnly"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endnote w:id="0"/>
    <w:endnote w:id="1"/>
  </w:endnotePr>
  <w:compat/>
  <w:docVars>
    <w:docVar w:name="LW_DocType" w:val="NORMAL"/>
  </w:docVars>
  <w:rsids>
    <w:rsidRoot w:val="00204689"/>
    <w:rsid w:val="00005481"/>
    <w:rsid w:val="000771A8"/>
    <w:rsid w:val="000B400E"/>
    <w:rsid w:val="000F392C"/>
    <w:rsid w:val="0010506D"/>
    <w:rsid w:val="001B71FE"/>
    <w:rsid w:val="001C76B2"/>
    <w:rsid w:val="001F0920"/>
    <w:rsid w:val="00204689"/>
    <w:rsid w:val="00216D08"/>
    <w:rsid w:val="00272BFA"/>
    <w:rsid w:val="00287B6F"/>
    <w:rsid w:val="002907A9"/>
    <w:rsid w:val="002C04FF"/>
    <w:rsid w:val="002C5156"/>
    <w:rsid w:val="00324D2D"/>
    <w:rsid w:val="00342835"/>
    <w:rsid w:val="003504A8"/>
    <w:rsid w:val="00360176"/>
    <w:rsid w:val="00385ACA"/>
    <w:rsid w:val="003909F7"/>
    <w:rsid w:val="003A12C6"/>
    <w:rsid w:val="00400BBC"/>
    <w:rsid w:val="0040752D"/>
    <w:rsid w:val="00432CCB"/>
    <w:rsid w:val="00443844"/>
    <w:rsid w:val="00460D3B"/>
    <w:rsid w:val="00482B1D"/>
    <w:rsid w:val="00493146"/>
    <w:rsid w:val="004931B3"/>
    <w:rsid w:val="004974B9"/>
    <w:rsid w:val="004B126D"/>
    <w:rsid w:val="004C1A48"/>
    <w:rsid w:val="004D4AE8"/>
    <w:rsid w:val="004E05F4"/>
    <w:rsid w:val="005147B7"/>
    <w:rsid w:val="0051522D"/>
    <w:rsid w:val="00560822"/>
    <w:rsid w:val="0056328E"/>
    <w:rsid w:val="00576F66"/>
    <w:rsid w:val="005955EB"/>
    <w:rsid w:val="005B7081"/>
    <w:rsid w:val="005D0ACC"/>
    <w:rsid w:val="005D410B"/>
    <w:rsid w:val="005E0182"/>
    <w:rsid w:val="00615F43"/>
    <w:rsid w:val="006320B3"/>
    <w:rsid w:val="006743EB"/>
    <w:rsid w:val="00675E23"/>
    <w:rsid w:val="00694F5A"/>
    <w:rsid w:val="006A2C5E"/>
    <w:rsid w:val="006D7254"/>
    <w:rsid w:val="006E2EAD"/>
    <w:rsid w:val="006F3F6A"/>
    <w:rsid w:val="00727476"/>
    <w:rsid w:val="00730E67"/>
    <w:rsid w:val="00745747"/>
    <w:rsid w:val="00752502"/>
    <w:rsid w:val="00785C87"/>
    <w:rsid w:val="00795EF2"/>
    <w:rsid w:val="007C5653"/>
    <w:rsid w:val="007D078C"/>
    <w:rsid w:val="007D0804"/>
    <w:rsid w:val="007E5A36"/>
    <w:rsid w:val="007F0038"/>
    <w:rsid w:val="008005F2"/>
    <w:rsid w:val="00806E5C"/>
    <w:rsid w:val="00807B54"/>
    <w:rsid w:val="00811839"/>
    <w:rsid w:val="0087529C"/>
    <w:rsid w:val="008D1C6D"/>
    <w:rsid w:val="008E118C"/>
    <w:rsid w:val="008E2772"/>
    <w:rsid w:val="008F6EB3"/>
    <w:rsid w:val="00925DA7"/>
    <w:rsid w:val="00970130"/>
    <w:rsid w:val="009A0FCB"/>
    <w:rsid w:val="009B4ED7"/>
    <w:rsid w:val="009F7BFA"/>
    <w:rsid w:val="00A074C8"/>
    <w:rsid w:val="00A17627"/>
    <w:rsid w:val="00A218EB"/>
    <w:rsid w:val="00A26A74"/>
    <w:rsid w:val="00A32837"/>
    <w:rsid w:val="00A46041"/>
    <w:rsid w:val="00A5541F"/>
    <w:rsid w:val="00A55CC7"/>
    <w:rsid w:val="00A95A11"/>
    <w:rsid w:val="00AA17E6"/>
    <w:rsid w:val="00AB60D8"/>
    <w:rsid w:val="00AC12C6"/>
    <w:rsid w:val="00AC392C"/>
    <w:rsid w:val="00B01972"/>
    <w:rsid w:val="00B07FB0"/>
    <w:rsid w:val="00B10189"/>
    <w:rsid w:val="00B30E30"/>
    <w:rsid w:val="00B4330B"/>
    <w:rsid w:val="00B609FD"/>
    <w:rsid w:val="00B7633C"/>
    <w:rsid w:val="00BA32E2"/>
    <w:rsid w:val="00BA5807"/>
    <w:rsid w:val="00BB06FB"/>
    <w:rsid w:val="00BB255F"/>
    <w:rsid w:val="00BC1F5E"/>
    <w:rsid w:val="00BF1491"/>
    <w:rsid w:val="00C05FD1"/>
    <w:rsid w:val="00C34E0D"/>
    <w:rsid w:val="00C4693B"/>
    <w:rsid w:val="00C63FAD"/>
    <w:rsid w:val="00C662EA"/>
    <w:rsid w:val="00C82EFA"/>
    <w:rsid w:val="00CA038F"/>
    <w:rsid w:val="00CB7D6E"/>
    <w:rsid w:val="00D2787D"/>
    <w:rsid w:val="00D30DC8"/>
    <w:rsid w:val="00D44DFE"/>
    <w:rsid w:val="00D666DC"/>
    <w:rsid w:val="00D9523F"/>
    <w:rsid w:val="00DD3F93"/>
    <w:rsid w:val="00DD56F3"/>
    <w:rsid w:val="00DE0B90"/>
    <w:rsid w:val="00DE5C70"/>
    <w:rsid w:val="00E21C39"/>
    <w:rsid w:val="00E6207A"/>
    <w:rsid w:val="00E6285C"/>
    <w:rsid w:val="00E75DF1"/>
    <w:rsid w:val="00E77498"/>
    <w:rsid w:val="00E83E08"/>
    <w:rsid w:val="00EB6BE7"/>
    <w:rsid w:val="00EC4EF1"/>
    <w:rsid w:val="00ED194E"/>
    <w:rsid w:val="00EE5B7F"/>
    <w:rsid w:val="00EF7819"/>
    <w:rsid w:val="00F06704"/>
    <w:rsid w:val="00F37046"/>
    <w:rsid w:val="00F37258"/>
    <w:rsid w:val="00F452E9"/>
    <w:rsid w:val="00F62AF1"/>
    <w:rsid w:val="00F81717"/>
    <w:rsid w:val="00FC7852"/>
    <w:rsid w:val="00FF0B69"/>
    <w:rsid w:val="00FF4D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pacing w:before="100" w:after="100"/>
    </w:pPr>
    <w:rPr>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uiPriority w:val="99"/>
    <w:pPr>
      <w:tabs>
        <w:tab w:val="center" w:pos="4320"/>
        <w:tab w:val="right" w:pos="8640"/>
      </w:tabs>
    </w:pPr>
    <w:rPr>
      <w:lang/>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400BBC"/>
    <w:rPr>
      <w:rFonts w:ascii="Tahoma" w:hAnsi="Tahoma" w:cs="Tahoma"/>
      <w:sz w:val="16"/>
      <w:szCs w:val="16"/>
    </w:rPr>
  </w:style>
  <w:style w:type="paragraph" w:styleId="BodyText2">
    <w:name w:val="Body Text 2"/>
    <w:basedOn w:val="Normal"/>
    <w:rsid w:val="00EC4EF1"/>
    <w:pPr>
      <w:widowControl/>
      <w:tabs>
        <w:tab w:val="num" w:pos="567"/>
      </w:tabs>
      <w:spacing w:before="0" w:after="0"/>
      <w:jc w:val="both"/>
    </w:pPr>
    <w:rPr>
      <w:snapToGrid/>
      <w:lang w:val="sv-SE" w:eastAsia="en-GB"/>
    </w:rPr>
  </w:style>
  <w:style w:type="character" w:styleId="CommentReference">
    <w:name w:val="annotation reference"/>
    <w:rsid w:val="00806E5C"/>
    <w:rPr>
      <w:sz w:val="16"/>
      <w:szCs w:val="16"/>
    </w:rPr>
  </w:style>
  <w:style w:type="paragraph" w:styleId="CommentText">
    <w:name w:val="annotation text"/>
    <w:basedOn w:val="Normal"/>
    <w:link w:val="CommentTextChar"/>
    <w:rsid w:val="00806E5C"/>
    <w:rPr>
      <w:sz w:val="20"/>
    </w:rPr>
  </w:style>
  <w:style w:type="character" w:customStyle="1" w:styleId="CommentTextChar">
    <w:name w:val="Comment Text Char"/>
    <w:link w:val="CommentText"/>
    <w:rsid w:val="00806E5C"/>
    <w:rPr>
      <w:snapToGrid/>
      <w:lang w:val="en-US" w:eastAsia="en-US"/>
    </w:rPr>
  </w:style>
  <w:style w:type="paragraph" w:styleId="CommentSubject">
    <w:name w:val="annotation subject"/>
    <w:basedOn w:val="CommentText"/>
    <w:next w:val="CommentText"/>
    <w:link w:val="CommentSubjectChar"/>
    <w:rsid w:val="00806E5C"/>
    <w:rPr>
      <w:b/>
      <w:bCs/>
    </w:rPr>
  </w:style>
  <w:style w:type="character" w:customStyle="1" w:styleId="CommentSubjectChar">
    <w:name w:val="Comment Subject Char"/>
    <w:link w:val="CommentSubject"/>
    <w:rsid w:val="00806E5C"/>
    <w:rPr>
      <w:b/>
      <w:bCs/>
      <w:snapToGrid/>
      <w:lang w:val="en-US" w:eastAsia="en-US"/>
    </w:rPr>
  </w:style>
  <w:style w:type="paragraph" w:customStyle="1" w:styleId="PRAGHeading2">
    <w:name w:val="PRAG Heading 2"/>
    <w:basedOn w:val="Normal"/>
    <w:rsid w:val="00DD3F93"/>
    <w:pPr>
      <w:numPr>
        <w:numId w:val="10"/>
      </w:numPr>
      <w:snapToGrid w:val="0"/>
    </w:pPr>
    <w:rPr>
      <w:snapToGrid/>
      <w:lang w:val="fr-FR"/>
    </w:rPr>
  </w:style>
  <w:style w:type="character" w:customStyle="1" w:styleId="HeaderChar">
    <w:name w:val="Header Char"/>
    <w:link w:val="Header"/>
    <w:uiPriority w:val="99"/>
    <w:rsid w:val="006D7254"/>
    <w:rPr>
      <w:snapToGrid/>
      <w:sz w:val="24"/>
    </w:rPr>
  </w:style>
  <w:style w:type="character" w:customStyle="1" w:styleId="UnresolvedMention">
    <w:name w:val="Unresolved Mention"/>
    <w:uiPriority w:val="99"/>
    <w:semiHidden/>
    <w:unhideWhenUsed/>
    <w:rsid w:val="00811839"/>
    <w:rPr>
      <w:color w:val="808080"/>
      <w:shd w:val="clear" w:color="auto" w:fill="E6E6E6"/>
    </w:rPr>
  </w:style>
  <w:style w:type="paragraph" w:styleId="NoSpacing">
    <w:name w:val="No Spacing"/>
    <w:uiPriority w:val="1"/>
    <w:qFormat/>
    <w:rsid w:val="004D4AE8"/>
    <w:pPr>
      <w:widowControl w:val="0"/>
    </w:pPr>
    <w:rPr>
      <w:snapToGrid w:val="0"/>
      <w:sz w:val="24"/>
    </w:rPr>
  </w:style>
</w:styles>
</file>

<file path=word/webSettings.xml><?xml version="1.0" encoding="utf-8"?>
<w:webSettings xmlns:r="http://schemas.openxmlformats.org/officeDocument/2006/relationships" xmlns:w="http://schemas.openxmlformats.org/wordprocessingml/2006/main">
  <w:divs>
    <w:div w:id="250240700">
      <w:bodyDiv w:val="1"/>
      <w:marLeft w:val="0"/>
      <w:marRight w:val="0"/>
      <w:marTop w:val="0"/>
      <w:marBottom w:val="0"/>
      <w:divBdr>
        <w:top w:val="none" w:sz="0" w:space="0" w:color="auto"/>
        <w:left w:val="none" w:sz="0" w:space="0" w:color="auto"/>
        <w:bottom w:val="none" w:sz="0" w:space="0" w:color="auto"/>
        <w:right w:val="none" w:sz="0" w:space="0" w:color="auto"/>
      </w:divBdr>
    </w:div>
    <w:div w:id="80493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aid/pra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europeaid/prag/?header_description=DEVCO+Prag+to+financial+and+contractual+procedures+applicable+to+external+actions+financed+from+the+general+budget+of+the+EU+and+from+the+11th+EDF&amp;header_keywords=ePrag%2C+euro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544AF-E6FC-4B36-B0A2-34EABF399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298</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Award notice - services</vt:lpstr>
    </vt:vector>
  </TitlesOfParts>
  <Company>Hewlett-Packard Company</Company>
  <LinksUpToDate>false</LinksUpToDate>
  <CharactersWithSpaces>2528</CharactersWithSpaces>
  <SharedDoc>false</SharedDoc>
  <HLinks>
    <vt:vector size="12" baseType="variant">
      <vt:variant>
        <vt:i4>5767241</vt:i4>
      </vt:variant>
      <vt:variant>
        <vt:i4>3</vt:i4>
      </vt:variant>
      <vt:variant>
        <vt:i4>0</vt:i4>
      </vt:variant>
      <vt:variant>
        <vt:i4>5</vt:i4>
      </vt:variant>
      <vt:variant>
        <vt:lpwstr>http://ec.europa.eu/europeaid/prag/?header_description=DEVCO+Prag+to+financial+and+contractual+procedures+applicable+to+external+actions+financed+from+the+general+budget+of+the+EU+and+from+the+11th+EDF&amp;header_keywords=ePrag%2C+europa</vt:lpwstr>
      </vt:variant>
      <vt:variant>
        <vt:lpwstr/>
      </vt:variant>
      <vt:variant>
        <vt:i4>8192037</vt:i4>
      </vt:variant>
      <vt:variant>
        <vt:i4>0</vt:i4>
      </vt:variant>
      <vt:variant>
        <vt:i4>0</vt:i4>
      </vt:variant>
      <vt:variant>
        <vt:i4>5</vt:i4>
      </vt:variant>
      <vt:variant>
        <vt:lpwstr>http://ec.europa.eu/europeaid/prag/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 notice - services</dc:title>
  <dc:creator>ramatje</dc:creator>
  <cp:lastModifiedBy>Djuric</cp:lastModifiedBy>
  <cp:revision>4</cp:revision>
  <cp:lastPrinted>2000-12-14T10:55:00Z</cp:lastPrinted>
  <dcterms:created xsi:type="dcterms:W3CDTF">2021-05-18T20:47:00Z</dcterms:created>
  <dcterms:modified xsi:type="dcterms:W3CDTF">2021-05-18T20:54:00Z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cajalja</vt:lpwstr>
  </property>
</Properties>
</file>